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200"/>
        <w:jc w:val="center"/>
      </w:pPr>
      <w:r>
        <w:rPr>
          <w:b/>
          <w:bCs/>
          <w:color w:val="1B5E7A"/>
          <w:sz w:val="56"/>
          <w:szCs w:val="56"/>
        </w:rPr>
        <w:t xml:space="preserve">TAMPA BAY THROUGH TIME</w:t>
      </w:r>
    </w:p>
    <w:p>
      <w:pPr>
        <w:spacing w:after="240"/>
        <w:jc w:val="center"/>
      </w:pPr>
      <w:r>
        <w:rPr>
          <w:color w:val="37474F"/>
          <w:sz w:val="32"/>
          <w:szCs w:val="32"/>
        </w:rPr>
        <w:t xml:space="preserve">A 4th Grade Florida History Curriculum</w:t>
      </w:r>
    </w:p>
    <w:p>
      <w:pPr>
        <w:spacing w:after="600"/>
        <w:jc w:val="center"/>
      </w:pPr>
      <w:r>
        <w:rPr>
          <w:i/>
          <w:iCs/>
          <w:color w:val="546E7A"/>
          <w:sz w:val="26"/>
          <w:szCs w:val="26"/>
        </w:rPr>
        <w:t xml:space="preserve">Rooted in the Greater Tampa Bay Area</w:t>
      </w:r>
    </w:p>
    <w:p>
      <w:pPr>
        <w:spacing w:after="240"/>
        <w:jc w:val="center"/>
      </w:pPr>
      <w:r>
        <w:rPr>
          <w:b/>
          <w:bCs/>
          <w:color w:val="1B5E7A"/>
          <w:sz w:val="28"/>
          <w:szCs w:val="28"/>
        </w:rPr>
        <w:t xml:space="preserve">Year-Long Scope &amp; Sequence</w:t>
      </w:r>
    </w:p>
    <w:p>
      <w:pPr>
        <w:spacing w:after="240"/>
        <w:jc w:val="center"/>
      </w:pPr>
      <w:r>
        <w:rPr>
          <w:color w:val="546E7A"/>
          <w:sz w:val="22"/>
          <w:szCs w:val="22"/>
        </w:rPr>
        <w:t xml:space="preserve">Aligned to Florida's State Academic Standards (SS.4)</w:t>
      </w:r>
    </w:p>
    <w:p>
      <w:r>
        <w:br w:type="page"/>
      </w:r>
    </w:p>
    <w:p>
      <w:pPr>
        <w:pStyle w:val="Heading1"/>
        <w:spacing w:after="160" w:before="240"/>
      </w:pPr>
      <w:r>
        <w:t xml:space="preserve">Welcome, Teachers</w:t>
      </w:r>
    </w:p>
    <w:p>
      <w:pPr>
        <w:spacing w:after="120"/>
      </w:pPr>
      <w:r>
        <w:t xml:space="preserve">This year-long curriculum brings Florida history to life by anchoring every era in places, people, and stories your students can visit, see, and connect to. From the shell mounds of the Tocobaga to the brick streets of Ybor City, the greater Tampa Bay area is a living textbook—and your classroom is at the center of it.</w:t>
      </w:r>
    </w:p>
    <w:p>
      <w:pPr>
        <w:spacing w:after="120"/>
      </w:pPr>
      <w:r>
        <w:t xml:space="preserve">Everything here is aligned to Florida's Grade 4 Social Studies standards (SS.4.A, SS.4.G, SS.4.E, SS.4.C). You will find six units that span the school year, with companion slide decks for each unit. Lessons are designed for 45–60 minute social studies blocks and emphasize primary sources, local field study opportunities, and student-friendly inquiry.</w:t>
      </w:r>
    </w:p>
    <w:p>
      <w:pPr>
        <w:pStyle w:val="Heading1"/>
        <w:spacing w:after="160" w:before="240"/>
      </w:pPr>
      <w:r>
        <w:t xml:space="preserve">How This Curriculum Is Organized</w:t>
      </w:r>
    </w:p>
    <w:p>
      <w:pPr>
        <w:spacing w:after="120"/>
      </w:pPr>
      <w:r>
        <w:rPr>
          <w:b/>
          <w:bCs/>
        </w:rPr>
        <w:t xml:space="preserve">Each unit includes:</w:t>
      </w:r>
    </w:p>
    <w:p>
      <w:pPr>
        <w:pStyle w:val="ListParagraph"/>
        <w:numPr>
          <w:ilvl w:val="0"/>
          <w:numId w:val="2"/>
        </w:numPr>
        <w:spacing w:after="80"/>
      </w:pPr>
      <w:r>
        <w:t xml:space="preserve">A unit overview with essential questions and standards</w:t>
      </w:r>
    </w:p>
    <w:p>
      <w:pPr>
        <w:pStyle w:val="ListParagraph"/>
        <w:numPr>
          <w:ilvl w:val="0"/>
          <w:numId w:val="2"/>
        </w:numPr>
        <w:spacing w:after="80"/>
      </w:pPr>
      <w:r>
        <w:t xml:space="preserve">4–6 daily lessons with objectives, materials, procedures, and assessments</w:t>
      </w:r>
    </w:p>
    <w:p>
      <w:pPr>
        <w:pStyle w:val="ListParagraph"/>
        <w:numPr>
          <w:ilvl w:val="0"/>
          <w:numId w:val="2"/>
        </w:numPr>
        <w:spacing w:after="80"/>
      </w:pPr>
      <w:r>
        <w:t xml:space="preserve">Tampa Bay-specific anchor places, primary sources, and field trip suggestions</w:t>
      </w:r>
    </w:p>
    <w:p>
      <w:pPr>
        <w:pStyle w:val="ListParagraph"/>
        <w:numPr>
          <w:ilvl w:val="0"/>
          <w:numId w:val="2"/>
        </w:numPr>
        <w:spacing w:after="80"/>
      </w:pPr>
      <w:r>
        <w:t xml:space="preserve">A companion slide deck for whole-class instruction</w:t>
      </w:r>
    </w:p>
    <w:p>
      <w:pPr>
        <w:pStyle w:val="ListParagraph"/>
        <w:numPr>
          <w:ilvl w:val="0"/>
          <w:numId w:val="2"/>
        </w:numPr>
        <w:spacing w:after="80"/>
      </w:pPr>
      <w:r>
        <w:t xml:space="preserve">Differentiation tips and home-school connections</w:t>
      </w:r>
    </w:p>
    <w:p>
      <w:r>
        <w:br w:type="page"/>
      </w:r>
    </w:p>
    <w:p>
      <w:pPr>
        <w:pStyle w:val="Heading1"/>
        <w:spacing w:after="160" w:before="240"/>
      </w:pPr>
      <w:r>
        <w:t xml:space="preserve">Year at a Glance</w:t>
      </w:r>
    </w:p>
    <w:p>
      <w:pPr>
        <w:spacing w:after="120"/>
      </w:pPr>
      <w:r>
        <w:t xml:space="preserve">Suggested pacing assumes approximately 30 weeks of social studies instruction, with flexibility built in for review, assessment, and field trips.</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2400"/>
        <w:gridCol w:w="3360"/>
      </w:tblGrid>
      <w:tr>
        <w:trPr>
          <w:tblHeader/>
        </w:trPr>
        <w:tc>
          <w:tcPr>
            <w:tcW w:type="dxa" w:w="1200"/>
            <w:tcBorders>
              <w:top w:val="single" w:color="B0BEC5" w:sz="4"/>
              <w:left w:val="single" w:color="B0BEC5" w:sz="4"/>
              <w:bottom w:val="single" w:color="B0BEC5" w:sz="4"/>
              <w:right w:val="single" w:color="B0BEC5" w:sz="4"/>
            </w:tcBorders>
            <w:shd w:fill="1B5E7A" w:val="clear"/>
            <w:tcMar>
              <w:top w:type="dxa" w:w="100"/>
              <w:left w:type="dxa" w:w="140"/>
              <w:bottom w:type="dxa" w:w="100"/>
              <w:right w:type="dxa" w:w="140"/>
            </w:tcMar>
          </w:tcPr>
          <w:p>
            <w:pPr>
              <w:spacing w:after="0"/>
            </w:pPr>
            <w:r>
              <w:rPr>
                <w:b/>
                <w:bCs/>
                <w:color w:val="FFFFFF"/>
                <w:sz w:val="22"/>
                <w:szCs w:val="22"/>
              </w:rPr>
              <w:t xml:space="preserve">Quarter</w:t>
            </w:r>
          </w:p>
        </w:tc>
        <w:tc>
          <w:tcPr>
            <w:tcW w:type="dxa" w:w="2400"/>
            <w:tcBorders>
              <w:top w:val="single" w:color="B0BEC5" w:sz="4"/>
              <w:left w:val="single" w:color="B0BEC5" w:sz="4"/>
              <w:bottom w:val="single" w:color="B0BEC5" w:sz="4"/>
              <w:right w:val="single" w:color="B0BEC5" w:sz="4"/>
            </w:tcBorders>
            <w:shd w:fill="1B5E7A" w:val="clear"/>
            <w:tcMar>
              <w:top w:type="dxa" w:w="100"/>
              <w:left w:type="dxa" w:w="140"/>
              <w:bottom w:type="dxa" w:w="100"/>
              <w:right w:type="dxa" w:w="140"/>
            </w:tcMar>
          </w:tcPr>
          <w:p>
            <w:pPr>
              <w:spacing w:after="0"/>
            </w:pPr>
            <w:r>
              <w:rPr>
                <w:b/>
                <w:bCs/>
                <w:color w:val="FFFFFF"/>
                <w:sz w:val="22"/>
                <w:szCs w:val="22"/>
              </w:rPr>
              <w:t xml:space="preserve">Unit</w:t>
            </w:r>
          </w:p>
        </w:tc>
        <w:tc>
          <w:tcPr>
            <w:tcW w:type="dxa" w:w="2400"/>
            <w:tcBorders>
              <w:top w:val="single" w:color="B0BEC5" w:sz="4"/>
              <w:left w:val="single" w:color="B0BEC5" w:sz="4"/>
              <w:bottom w:val="single" w:color="B0BEC5" w:sz="4"/>
              <w:right w:val="single" w:color="B0BEC5" w:sz="4"/>
            </w:tcBorders>
            <w:shd w:fill="1B5E7A" w:val="clear"/>
            <w:tcMar>
              <w:top w:type="dxa" w:w="100"/>
              <w:left w:type="dxa" w:w="140"/>
              <w:bottom w:type="dxa" w:w="100"/>
              <w:right w:type="dxa" w:w="140"/>
            </w:tcMar>
          </w:tcPr>
          <w:p>
            <w:pPr>
              <w:spacing w:after="0"/>
            </w:pPr>
            <w:r>
              <w:rPr>
                <w:b/>
                <w:bCs/>
                <w:color w:val="FFFFFF"/>
                <w:sz w:val="22"/>
                <w:szCs w:val="22"/>
              </w:rPr>
              <w:t xml:space="preserve">Tampa Bay Anchor Topic</w:t>
            </w:r>
          </w:p>
        </w:tc>
        <w:tc>
          <w:tcPr>
            <w:tcW w:type="dxa" w:w="3360"/>
            <w:tcBorders>
              <w:top w:val="single" w:color="B0BEC5" w:sz="4"/>
              <w:left w:val="single" w:color="B0BEC5" w:sz="4"/>
              <w:bottom w:val="single" w:color="B0BEC5" w:sz="4"/>
              <w:right w:val="single" w:color="B0BEC5" w:sz="4"/>
            </w:tcBorders>
            <w:shd w:fill="1B5E7A" w:val="clear"/>
            <w:tcMar>
              <w:top w:type="dxa" w:w="100"/>
              <w:left w:type="dxa" w:w="140"/>
              <w:bottom w:type="dxa" w:w="100"/>
              <w:right w:type="dxa" w:w="140"/>
            </w:tcMar>
          </w:tcPr>
          <w:p>
            <w:pPr>
              <w:spacing w:after="0"/>
            </w:pPr>
            <w:r>
              <w:rPr>
                <w:b/>
                <w:bCs/>
                <w:color w:val="FFFFFF"/>
                <w:sz w:val="22"/>
                <w:szCs w:val="22"/>
              </w:rPr>
              <w:t xml:space="preserve">Primary Standards</w:t>
            </w:r>
          </w:p>
        </w:tc>
      </w:tr>
      <w:tr>
        <w:tc>
          <w:tcPr>
            <w:tcW w:type="dxa" w:w="1200"/>
            <w:tcBorders>
              <w:top w:val="single" w:color="B0BEC5" w:sz="4"/>
              <w:left w:val="single" w:color="B0BEC5" w:sz="4"/>
              <w:bottom w:val="single" w:color="B0BEC5" w:sz="4"/>
              <w:right w:val="single" w:color="B0BEC5" w:sz="4"/>
            </w:tcBorders>
            <w:shd w:fill="E1F5FE" w:val="clear"/>
            <w:tcMar>
              <w:top w:type="dxa" w:w="100"/>
              <w:left w:type="dxa" w:w="140"/>
              <w:bottom w:type="dxa" w:w="100"/>
              <w:right w:type="dxa" w:w="140"/>
            </w:tcMar>
          </w:tcPr>
          <w:p>
            <w:pPr>
              <w:spacing w:after="0"/>
            </w:pPr>
            <w:r>
              <w:rPr>
                <w:b w:val="false"/>
                <w:bCs w:val="false"/>
                <w:color w:val="263238"/>
                <w:sz w:val="22"/>
                <w:szCs w:val="22"/>
              </w:rPr>
              <w:t xml:space="preserve">Q1</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Unit 1: First Peoples of Tampa Bay</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The Tocobaga &amp; Calusa; shell mounds; Safety Harbor &amp; Pinellas Point</w:t>
            </w:r>
          </w:p>
        </w:tc>
        <w:tc>
          <w:tcPr>
            <w:tcW w:type="dxa" w:w="33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SS.4.A.1.1, SS.4.A.1.2, SS.4.A.2.1, SS.4.G.1.1</w:t>
            </w:r>
          </w:p>
        </w:tc>
      </w:tr>
      <w:tr>
        <w:tc>
          <w:tcPr>
            <w:tcW w:type="dxa" w:w="1200"/>
            <w:tcBorders>
              <w:top w:val="single" w:color="B0BEC5" w:sz="4"/>
              <w:left w:val="single" w:color="B0BEC5" w:sz="4"/>
              <w:bottom w:val="single" w:color="B0BEC5" w:sz="4"/>
              <w:right w:val="single" w:color="B0BEC5" w:sz="4"/>
            </w:tcBorders>
            <w:shd w:fill="E1F5FE" w:val="clear"/>
            <w:tcMar>
              <w:top w:type="dxa" w:w="100"/>
              <w:left w:type="dxa" w:w="140"/>
              <w:bottom w:type="dxa" w:w="100"/>
              <w:right w:type="dxa" w:w="140"/>
            </w:tcMar>
          </w:tcPr>
          <w:p>
            <w:pPr>
              <w:spacing w:after="0"/>
            </w:pPr>
            <w:r>
              <w:rPr>
                <w:b w:val="false"/>
                <w:bCs w:val="false"/>
                <w:color w:val="263238"/>
                <w:sz w:val="22"/>
                <w:szCs w:val="22"/>
              </w:rPr>
              <w:t xml:space="preserve">Q1</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Unit 2: Spanish Explorers in the Bay</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Narváez &amp; De Soto landings; first contact at Tampa Bay</w:t>
            </w:r>
          </w:p>
        </w:tc>
        <w:tc>
          <w:tcPr>
            <w:tcW w:type="dxa" w:w="33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SS.4.A.3.1, SS.4.A.3.2, SS.4.A.3.4, SS.4.G.1.2</w:t>
            </w:r>
          </w:p>
        </w:tc>
      </w:tr>
      <w:tr>
        <w:tc>
          <w:tcPr>
            <w:tcW w:type="dxa" w:w="1200"/>
            <w:tcBorders>
              <w:top w:val="single" w:color="B0BEC5" w:sz="4"/>
              <w:left w:val="single" w:color="B0BEC5" w:sz="4"/>
              <w:bottom w:val="single" w:color="B0BEC5" w:sz="4"/>
              <w:right w:val="single" w:color="B0BEC5" w:sz="4"/>
            </w:tcBorders>
            <w:shd w:fill="FFF3E0" w:val="clear"/>
            <w:tcMar>
              <w:top w:type="dxa" w:w="100"/>
              <w:left w:type="dxa" w:w="140"/>
              <w:bottom w:type="dxa" w:w="100"/>
              <w:right w:type="dxa" w:w="140"/>
            </w:tcMar>
          </w:tcPr>
          <w:p>
            <w:pPr>
              <w:spacing w:after="0"/>
            </w:pPr>
            <w:r>
              <w:rPr>
                <w:b w:val="false"/>
                <w:bCs w:val="false"/>
                <w:color w:val="263238"/>
                <w:sz w:val="22"/>
                <w:szCs w:val="22"/>
              </w:rPr>
              <w:t xml:space="preserve">Q2</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Unit 3: Local Geography of Tampa Bay</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The Bay's physical features; rivers, keys, and counties</w:t>
            </w:r>
          </w:p>
        </w:tc>
        <w:tc>
          <w:tcPr>
            <w:tcW w:type="dxa" w:w="33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SS.4.G.1.1, SS.4.G.1.2, SS.4.G.1.3, SS.4.G.1.4</w:t>
            </w:r>
          </w:p>
        </w:tc>
      </w:tr>
      <w:tr>
        <w:tc>
          <w:tcPr>
            <w:tcW w:type="dxa" w:w="1200"/>
            <w:tcBorders>
              <w:top w:val="single" w:color="B0BEC5" w:sz="4"/>
              <w:left w:val="single" w:color="B0BEC5" w:sz="4"/>
              <w:bottom w:val="single" w:color="B0BEC5" w:sz="4"/>
              <w:right w:val="single" w:color="B0BEC5" w:sz="4"/>
            </w:tcBorders>
            <w:shd w:fill="FFF3E0" w:val="clear"/>
            <w:tcMar>
              <w:top w:type="dxa" w:w="100"/>
              <w:left w:type="dxa" w:w="140"/>
              <w:bottom w:type="dxa" w:w="100"/>
              <w:right w:type="dxa" w:w="140"/>
            </w:tcMar>
          </w:tcPr>
          <w:p>
            <w:pPr>
              <w:spacing w:after="0"/>
            </w:pPr>
            <w:r>
              <w:rPr>
                <w:b w:val="false"/>
                <w:bCs w:val="false"/>
                <w:color w:val="263238"/>
                <w:sz w:val="22"/>
                <w:szCs w:val="22"/>
              </w:rPr>
              <w:t xml:space="preserve">Q2</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Unit 4: Seminole Wars &amp; Fort Brooke</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The founding of Tampa; Fort Brooke; Seminole Wars</w:t>
            </w:r>
          </w:p>
        </w:tc>
        <w:tc>
          <w:tcPr>
            <w:tcW w:type="dxa" w:w="33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SS.4.A.3.7, SS.4.A.3.8, SS.4.A.3.10, SS.4.A.4.1, SS.4.A.4.2</w:t>
            </w:r>
          </w:p>
        </w:tc>
      </w:tr>
      <w:tr>
        <w:tc>
          <w:tcPr>
            <w:tcW w:type="dxa" w:w="1200"/>
            <w:tcBorders>
              <w:top w:val="single" w:color="B0BEC5" w:sz="4"/>
              <w:left w:val="single" w:color="B0BEC5" w:sz="4"/>
              <w:bottom w:val="single" w:color="B0BEC5" w:sz="4"/>
              <w:right w:val="single" w:color="B0BEC5" w:sz="4"/>
            </w:tcBorders>
            <w:shd w:fill="F3E5F5" w:val="clear"/>
            <w:tcMar>
              <w:top w:type="dxa" w:w="100"/>
              <w:left w:type="dxa" w:w="140"/>
              <w:bottom w:type="dxa" w:w="100"/>
              <w:right w:type="dxa" w:w="140"/>
            </w:tcMar>
          </w:tcPr>
          <w:p>
            <w:pPr>
              <w:spacing w:after="0"/>
            </w:pPr>
            <w:r>
              <w:rPr>
                <w:b w:val="false"/>
                <w:bCs w:val="false"/>
                <w:color w:val="263238"/>
                <w:sz w:val="22"/>
                <w:szCs w:val="22"/>
              </w:rPr>
              <w:t xml:space="preserve">Q3</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Unit 5: Henry Plant, Railroads &amp; the Birth of Modern Tampa</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Plant's railroad; Tampa Bay Hotel; tourism boom</w:t>
            </w:r>
          </w:p>
        </w:tc>
        <w:tc>
          <w:tcPr>
            <w:tcW w:type="dxa" w:w="33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SS.4.A.6.1, SS.4.A.6.3, SS.4.E.1.1, SS.4.E.1.2</w:t>
            </w:r>
          </w:p>
        </w:tc>
      </w:tr>
      <w:tr>
        <w:tc>
          <w:tcPr>
            <w:tcW w:type="dxa" w:w="1200"/>
            <w:tcBorders>
              <w:top w:val="single" w:color="B0BEC5" w:sz="4"/>
              <w:left w:val="single" w:color="B0BEC5" w:sz="4"/>
              <w:bottom w:val="single" w:color="B0BEC5" w:sz="4"/>
              <w:right w:val="single" w:color="B0BEC5" w:sz="4"/>
            </w:tcBorders>
            <w:shd w:fill="E8F5E9" w:val="clear"/>
            <w:tcMar>
              <w:top w:type="dxa" w:w="100"/>
              <w:left w:type="dxa" w:w="140"/>
              <w:bottom w:type="dxa" w:w="100"/>
              <w:right w:type="dxa" w:w="140"/>
            </w:tcMar>
          </w:tcPr>
          <w:p>
            <w:pPr>
              <w:spacing w:after="0"/>
            </w:pPr>
            <w:r>
              <w:rPr>
                <w:b w:val="false"/>
                <w:bCs w:val="false"/>
                <w:color w:val="263238"/>
                <w:sz w:val="22"/>
                <w:szCs w:val="22"/>
              </w:rPr>
              <w:t xml:space="preserve">Q4</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Unit 6: Cigar City — Ybor City &amp; Immigration</w:t>
            </w:r>
          </w:p>
        </w:tc>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Vicente Martinez Ybor; Cuban, Spanish, Italian, &amp; Afro-Cuban communities; lectores</w:t>
            </w:r>
          </w:p>
        </w:tc>
        <w:tc>
          <w:tcPr>
            <w:tcW w:type="dxa" w:w="33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pPr>
            <w:r>
              <w:rPr>
                <w:b w:val="false"/>
                <w:bCs w:val="false"/>
                <w:color w:val="263238"/>
                <w:sz w:val="22"/>
                <w:szCs w:val="22"/>
              </w:rPr>
              <w:t xml:space="preserve">SS.4.A.6.1, SS.4.A.6.2, SS.4.A.6.3, SS.4.E.1.1</w:t>
            </w:r>
          </w:p>
        </w:tc>
      </w:tr>
    </w:tbl>
    <w:p>
      <w:r>
        <w:br w:type="page"/>
      </w:r>
    </w:p>
    <w:p>
      <w:pPr>
        <w:pStyle w:val="Heading1"/>
        <w:spacing w:after="160" w:before="240"/>
      </w:pPr>
      <w:r>
        <w:t xml:space="preserve">Year-Long Essential Questions</w:t>
      </w:r>
    </w:p>
    <w:p>
      <w:pPr>
        <w:spacing w:after="120"/>
      </w:pPr>
      <w:r>
        <w:t xml:space="preserve">Return to these questions throughout the year. They cut across every unit and help students see Tampa Bay history as a connected story rather than isolated events.</w:t>
      </w:r>
    </w:p>
    <w:p>
      <w:pPr>
        <w:pStyle w:val="ListParagraph"/>
        <w:numPr>
          <w:ilvl w:val="0"/>
          <w:numId w:val="2"/>
        </w:numPr>
        <w:spacing w:after="80"/>
      </w:pPr>
      <w:r>
        <w:t xml:space="preserve">How has Tampa Bay's geography shaped the people who live here?</w:t>
      </w:r>
    </w:p>
    <w:p>
      <w:pPr>
        <w:pStyle w:val="ListParagraph"/>
        <w:numPr>
          <w:ilvl w:val="0"/>
          <w:numId w:val="2"/>
        </w:numPr>
        <w:spacing w:after="80"/>
      </w:pPr>
      <w:r>
        <w:t xml:space="preserve">Whose stories get remembered, and whose get forgotten?</w:t>
      </w:r>
    </w:p>
    <w:p>
      <w:pPr>
        <w:pStyle w:val="ListParagraph"/>
        <w:numPr>
          <w:ilvl w:val="0"/>
          <w:numId w:val="2"/>
        </w:numPr>
        <w:spacing w:after="80"/>
      </w:pPr>
      <w:r>
        <w:t xml:space="preserve">How do places near us still carry the past inside them?</w:t>
      </w:r>
    </w:p>
    <w:p>
      <w:pPr>
        <w:pStyle w:val="ListParagraph"/>
        <w:numPr>
          <w:ilvl w:val="0"/>
          <w:numId w:val="2"/>
        </w:numPr>
        <w:spacing w:after="80"/>
      </w:pPr>
      <w:r>
        <w:t xml:space="preserve">What does it mean to be a 'Floridian'—and who has been included or excluded from that idea over time?</w:t>
      </w:r>
    </w:p>
    <w:p>
      <w:pPr>
        <w:pStyle w:val="Heading1"/>
        <w:spacing w:after="160" w:before="240"/>
      </w:pPr>
      <w:r>
        <w:t xml:space="preserve">Recommended Resources &amp; Field Trip Sites</w:t>
      </w:r>
    </w:p>
    <w:p>
      <w:pPr>
        <w:spacing w:after="120"/>
      </w:pPr>
      <w:r>
        <w:rPr>
          <w:b/>
          <w:bCs/>
        </w:rPr>
        <w:t xml:space="preserve">These local institutions support the curriculum and offer student programs:</w:t>
      </w:r>
    </w:p>
    <w:p>
      <w:pPr>
        <w:pStyle w:val="ListParagraph"/>
        <w:numPr>
          <w:ilvl w:val="0"/>
          <w:numId w:val="2"/>
        </w:numPr>
        <w:spacing w:after="80"/>
      </w:pPr>
      <w:r>
        <w:t xml:space="preserve">Tampa Bay History Center (downtown Tampa) — anchors Units 4, 5, and 6</w:t>
      </w:r>
    </w:p>
    <w:p>
      <w:pPr>
        <w:pStyle w:val="ListParagraph"/>
        <w:numPr>
          <w:ilvl w:val="0"/>
          <w:numId w:val="2"/>
        </w:numPr>
        <w:spacing w:after="80"/>
      </w:pPr>
      <w:r>
        <w:t xml:space="preserve">Florida Museum of Photography / USF Library Special Collections</w:t>
      </w:r>
    </w:p>
    <w:p>
      <w:pPr>
        <w:pStyle w:val="ListParagraph"/>
        <w:numPr>
          <w:ilvl w:val="0"/>
          <w:numId w:val="2"/>
        </w:numPr>
        <w:spacing w:after="80"/>
      </w:pPr>
      <w:r>
        <w:t xml:space="preserve">Safety Harbor Museum &amp; Cultural Center (Pinellas County) — anchors Unit 1</w:t>
      </w:r>
    </w:p>
    <w:p>
      <w:pPr>
        <w:pStyle w:val="ListParagraph"/>
        <w:numPr>
          <w:ilvl w:val="0"/>
          <w:numId w:val="2"/>
        </w:numPr>
        <w:spacing w:after="80"/>
      </w:pPr>
      <w:r>
        <w:t xml:space="preserve">Pinellas Point shell mound site (St. Petersburg) — Unit 1</w:t>
      </w:r>
    </w:p>
    <w:p>
      <w:pPr>
        <w:pStyle w:val="ListParagraph"/>
        <w:numPr>
          <w:ilvl w:val="0"/>
          <w:numId w:val="2"/>
        </w:numPr>
        <w:spacing w:after="80"/>
      </w:pPr>
      <w:r>
        <w:t xml:space="preserve">De Soto National Memorial (Bradenton) — Unit 2</w:t>
      </w:r>
    </w:p>
    <w:p>
      <w:pPr>
        <w:pStyle w:val="ListParagraph"/>
        <w:numPr>
          <w:ilvl w:val="0"/>
          <w:numId w:val="2"/>
        </w:numPr>
        <w:spacing w:after="80"/>
      </w:pPr>
      <w:r>
        <w:t xml:space="preserve">Henry B. Plant Museum at the University of Tampa — Unit 5</w:t>
      </w:r>
    </w:p>
    <w:p>
      <w:pPr>
        <w:pStyle w:val="ListParagraph"/>
        <w:numPr>
          <w:ilvl w:val="0"/>
          <w:numId w:val="2"/>
        </w:numPr>
        <w:spacing w:after="80"/>
      </w:pPr>
      <w:r>
        <w:t xml:space="preserve">Ybor City Museum State Park — Unit 6</w:t>
      </w:r>
    </w:p>
    <w:p>
      <w:pPr>
        <w:pStyle w:val="ListParagraph"/>
        <w:numPr>
          <w:ilvl w:val="0"/>
          <w:numId w:val="2"/>
        </w:numPr>
        <w:spacing w:after="80"/>
      </w:pPr>
      <w:r>
        <w:t xml:space="preserve">Florida Memory online archive (floridamemory.com) — primary sources for every unit</w:t>
      </w:r>
    </w:p>
    <w:p>
      <w:pPr>
        <w:pStyle w:val="Heading1"/>
        <w:spacing w:after="160" w:before="240"/>
      </w:pPr>
      <w:r>
        <w:t xml:space="preserve">A Note on Local Voices</w:t>
      </w:r>
    </w:p>
    <w:p>
      <w:pPr>
        <w:spacing w:after="120"/>
      </w:pPr>
      <w:r>
        <w:t xml:space="preserve">Tampa Bay's history includes Indigenous peoples whose descendants are still here, immigrants whose grandchildren still live in Tampa Bay neighborhoods, and communities whose contributions have sometimes been overlooked. Throughout this curriculum, students are invited to look around their own city and recognize that history is not just in books — it is in the streets they drive, the parks they play in, and the bay they swim in.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8909C"/>
        <w:sz w:val="18"/>
        <w:szCs w:val="18"/>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8909C"/>
        <w:sz w:val="18"/>
        <w:szCs w:val="18"/>
      </w:rPr>
      <w:t xml:space="preserve">Tampa Bay Through Time  |  4th Grade Florida 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Calibri" w:cs="Calibri" w:eastAsia="Calibri" w:hAnsi="Calibri"/>
      <w:b/>
      <w:bCs/>
      <w:color w:val="1B5E7A"/>
      <w:sz w:val="36"/>
      <w:szCs w:val="36"/>
    </w:rPr>
  </w:style>
  <w:style w:type="paragraph" w:styleId="Heading2">
    <w:name w:val="Heading 2"/>
    <w:basedOn w:val="Normal"/>
    <w:next w:val="Normal"/>
    <w:qFormat/>
    <w:pPr>
      <w:spacing w:after="160" w:before="220"/>
      <w:outlineLvl w:val="1"/>
    </w:pPr>
    <w:rPr>
      <w:rFonts w:ascii="Calibri" w:cs="Calibri" w:eastAsia="Calibri" w:hAnsi="Calibri"/>
      <w:b/>
      <w:bCs/>
      <w:color w:val="37474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Tampa Bay Through Time - Scope &amp; Sequence</dc:title>
  <dc:creator>Tampa Bay 4th Grade Curriculum</dc:creator>
  <cp:lastModifiedBy>Un-named</cp:lastModifiedBy>
  <cp:revision>1</cp:revision>
  <dcterms:created xsi:type="dcterms:W3CDTF">2026-05-06T12:18:17.317Z</dcterms:created>
  <dcterms:modified xsi:type="dcterms:W3CDTF">2026-05-06T12:18:17.317Z</dcterms:modified>
</cp:coreProperties>
</file>

<file path=docProps/custom.xml><?xml version="1.0" encoding="utf-8"?>
<Properties xmlns="http://schemas.openxmlformats.org/officeDocument/2006/custom-properties" xmlns:vt="http://schemas.openxmlformats.org/officeDocument/2006/docPropsVTypes"/>
</file>